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0"/>
        <w:gridCol w:w="222"/>
      </w:tblGrid>
      <w:tr w:rsidR="00DA6777" w:rsidTr="00822908"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30E" w:rsidRDefault="00431C9D" w:rsidP="00822908">
            <w:r>
              <w:rPr>
                <w:noProof/>
                <w:lang w:eastAsia="en-IE"/>
              </w:rPr>
              <w:drawing>
                <wp:inline distT="0" distB="0" distL="0" distR="0">
                  <wp:extent cx="6645910" cy="640080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_hea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0C29E7" w:rsidRDefault="000C29E7" w:rsidP="000E3AAA">
            <w:pPr>
              <w:jc w:val="right"/>
            </w:pPr>
          </w:p>
        </w:tc>
      </w:tr>
    </w:tbl>
    <w:p w:rsidR="00662D2C" w:rsidRDefault="00662D2C"/>
    <w:tbl>
      <w:tblPr>
        <w:tblStyle w:val="NormalTablePHPDOCX"/>
        <w:tblW w:w="5000" w:type="pct"/>
        <w:tblInd w:w="108" w:type="dxa"/>
        <w:tblBorders>
          <w:top w:val="dotted" w:sz="5" w:space="0" w:color="EB8509"/>
          <w:left w:val="dotted" w:sz="5" w:space="0" w:color="EB8509"/>
          <w:bottom w:val="dotted" w:sz="5" w:space="0" w:color="EB8509"/>
          <w:right w:val="dotted" w:sz="5" w:space="0" w:color="EB8509"/>
        </w:tblBorders>
        <w:tblLook w:val="04A0" w:firstRow="1" w:lastRow="0" w:firstColumn="1" w:lastColumn="0" w:noHBand="0" w:noVBand="1"/>
      </w:tblPr>
      <w:tblGrid>
        <w:gridCol w:w="7478"/>
        <w:gridCol w:w="534"/>
        <w:gridCol w:w="534"/>
        <w:gridCol w:w="534"/>
        <w:gridCol w:w="534"/>
        <w:gridCol w:w="534"/>
        <w:gridCol w:w="534"/>
      </w:tblGrid>
      <w:tr w:rsidR="00662D2C">
        <w:tc>
          <w:tcPr>
            <w:tcW w:w="3500" w:type="pct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CC"/>
            <w:tcMar>
              <w:top w:w="15" w:type="dxa"/>
              <w:bottom w:w="15" w:type="dxa"/>
            </w:tcMar>
            <w:vAlign w:val="center"/>
          </w:tcPr>
          <w:p w:rsidR="00662D2C" w:rsidRDefault="009B3AD0">
            <w:r>
              <w:rPr>
                <w:b/>
                <w:color w:val="000000"/>
                <w:position w:val="-3"/>
              </w:rPr>
              <w:t xml:space="preserve">Student Name: </w:t>
            </w:r>
          </w:p>
        </w:tc>
        <w:tc>
          <w:tcPr>
            <w:tcW w:w="1500" w:type="pct"/>
            <w:gridSpan w:val="6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CC"/>
            <w:tcMar>
              <w:top w:w="15" w:type="dxa"/>
              <w:bottom w:w="15" w:type="dxa"/>
            </w:tcMar>
            <w:vAlign w:val="center"/>
          </w:tcPr>
          <w:p w:rsidR="00662D2C" w:rsidRDefault="009B3AD0">
            <w:pPr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PHASES IN SKILL DEVELOPMENT</w:t>
            </w:r>
          </w:p>
        </w:tc>
      </w:tr>
      <w:tr w:rsidR="00662D2C">
        <w:tc>
          <w:tcPr>
            <w:tcW w:w="0" w:type="auto"/>
            <w:vMerge w:val="restart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662D2C" w:rsidRDefault="009B3AD0">
            <w:pPr>
              <w:spacing w:line="300" w:lineRule="auto"/>
              <w:jc w:val="center"/>
              <w:textAlignment w:val="center"/>
            </w:pPr>
            <w:bookmarkStart w:id="0" w:name="_GoBack"/>
            <w:r>
              <w:rPr>
                <w:b/>
                <w:color w:val="000000"/>
                <w:position w:val="-4"/>
                <w:sz w:val="28"/>
                <w:szCs w:val="28"/>
              </w:rPr>
              <w:t>Curriculum Skill: "</w:t>
            </w:r>
            <w:r>
              <w:rPr>
                <w:b/>
                <w:i/>
                <w:color w:val="000000"/>
                <w:position w:val="-4"/>
                <w:sz w:val="28"/>
                <w:szCs w:val="28"/>
              </w:rPr>
              <w:t>Comparing"</w:t>
            </w:r>
          </w:p>
          <w:p w:rsidR="00662D2C" w:rsidRDefault="00662D2C"/>
          <w:p w:rsidR="00662D2C" w:rsidRDefault="009B3AD0">
            <w:pPr>
              <w:spacing w:line="300" w:lineRule="auto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GLD Level: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Mild</w:t>
            </w:r>
          </w:p>
          <w:p w:rsidR="00662D2C" w:rsidRDefault="009B3AD0">
            <w:pPr>
              <w:spacing w:line="300" w:lineRule="auto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Curricular Area: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Mathematics</w:t>
            </w:r>
          </w:p>
          <w:p w:rsidR="00662D2C" w:rsidRDefault="009B3AD0">
            <w:pPr>
              <w:spacing w:line="300" w:lineRule="auto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Curricular Strand: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Comparing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gridSpan w:val="3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662D2C" w:rsidRDefault="009B3AD0">
            <w:pPr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Attained</w:t>
            </w:r>
          </w:p>
        </w:tc>
        <w:tc>
          <w:tcPr>
            <w:tcW w:w="0" w:type="auto"/>
            <w:gridSpan w:val="2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662D2C" w:rsidRDefault="009B3AD0">
            <w:pPr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Extended</w:t>
            </w:r>
          </w:p>
        </w:tc>
      </w:tr>
      <w:bookmarkEnd w:id="0"/>
      <w:tr w:rsidR="00662D2C">
        <w:trPr>
          <w:trHeight w:val="1650"/>
        </w:trPr>
        <w:tc>
          <w:tcPr>
            <w:tcW w:w="0" w:type="auto"/>
            <w:vMerge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75" w:type="dxa"/>
              <w:bottom w:w="75" w:type="dxa"/>
            </w:tcMar>
            <w:textDirection w:val="tbRl"/>
            <w:vAlign w:val="center"/>
          </w:tcPr>
          <w:p w:rsidR="00662D2C" w:rsidRDefault="009B3AD0">
            <w:pPr>
              <w:jc w:val="right"/>
            </w:pPr>
            <w:r>
              <w:rPr>
                <w:b/>
                <w:color w:val="000000"/>
                <w:position w:val="-3"/>
              </w:rPr>
              <w:t>Acquiring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 w:rsidR="00662D2C" w:rsidRDefault="009B3AD0">
            <w:pPr>
              <w:jc w:val="right"/>
            </w:pPr>
            <w:r>
              <w:rPr>
                <w:b/>
                <w:color w:val="000000"/>
                <w:position w:val="-3"/>
              </w:rPr>
              <w:t>Becoming Fluent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 w:rsidR="00662D2C" w:rsidRDefault="009B3AD0">
            <w:pPr>
              <w:jc w:val="right"/>
            </w:pPr>
            <w:r>
              <w:rPr>
                <w:b/>
                <w:color w:val="000000"/>
                <w:position w:val="-3"/>
              </w:rPr>
              <w:t>Maintenance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 w:rsidR="00662D2C" w:rsidRDefault="009B3AD0">
            <w:pPr>
              <w:jc w:val="right"/>
            </w:pPr>
            <w:r>
              <w:rPr>
                <w:b/>
                <w:color w:val="000000"/>
                <w:position w:val="-3"/>
              </w:rPr>
              <w:t>Generalisation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75" w:type="dxa"/>
              <w:bottom w:w="75" w:type="dxa"/>
            </w:tcMar>
            <w:textDirection w:val="tbRl"/>
            <w:vAlign w:val="center"/>
          </w:tcPr>
          <w:p w:rsidR="00662D2C" w:rsidRDefault="009B3AD0">
            <w:pPr>
              <w:jc w:val="right"/>
            </w:pPr>
            <w:r>
              <w:rPr>
                <w:b/>
                <w:color w:val="000000"/>
                <w:position w:val="-3"/>
              </w:rPr>
              <w:t>Application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75" w:type="dxa"/>
              <w:bottom w:w="75" w:type="dxa"/>
            </w:tcMar>
            <w:textDirection w:val="tbRl"/>
            <w:vAlign w:val="center"/>
          </w:tcPr>
          <w:p w:rsidR="00662D2C" w:rsidRDefault="009B3AD0">
            <w:pPr>
              <w:jc w:val="right"/>
            </w:pPr>
            <w:r>
              <w:rPr>
                <w:b/>
                <w:color w:val="000000"/>
                <w:position w:val="-3"/>
              </w:rPr>
              <w:t>Adaptation</w:t>
            </w:r>
          </w:p>
        </w:tc>
      </w:tr>
      <w:tr w:rsidR="00662D2C"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662D2C" w:rsidRDefault="009B3AD0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Compare objects according to length, width, height, weight, quantity, thickness or size:</w:t>
            </w:r>
          </w:p>
          <w:p w:rsidR="00662D2C" w:rsidRDefault="009B3AD0"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 w:rsidR="00662D2C" w:rsidRDefault="009B3AD0">
            <w:pPr>
              <w:spacing w:line="300" w:lineRule="auto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 xml:space="preserve">compare pairs of identical objects that differ in length, noting the need for a baseline or common starting point 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 compare pairs of pencils - how does each differ from the next? (long/short, longer/shorter)</w:t>
            </w:r>
          </w:p>
          <w:p w:rsidR="00662D2C" w:rsidRDefault="009B3AD0"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 w:rsidR="00662D2C" w:rsidRDefault="009B3AD0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</w:tr>
      <w:tr w:rsidR="00662D2C"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662D2C" w:rsidRDefault="009B3AD0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Compare sets without counting:</w:t>
            </w:r>
          </w:p>
          <w:p w:rsidR="00662D2C" w:rsidRDefault="009B3AD0"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 w:rsidR="00662D2C" w:rsidRDefault="009B3AD0">
            <w:pPr>
              <w:spacing w:line="300" w:lineRule="auto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>more than and less than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662D2C" w:rsidRDefault="00662D2C"/>
        </w:tc>
      </w:tr>
    </w:tbl>
    <w:p w:rsidR="00B91D64" w:rsidRDefault="00B91D64" w:rsidP="00B91D64"/>
    <w:p w:rsidR="003E63B6" w:rsidRPr="00B91D64" w:rsidRDefault="00B91D64" w:rsidP="00B91D64">
      <w:pPr>
        <w:tabs>
          <w:tab w:val="left" w:pos="9285"/>
        </w:tabs>
      </w:pPr>
      <w:r>
        <w:tab/>
      </w:r>
    </w:p>
    <w:sectPr w:rsidR="003E63B6" w:rsidRPr="00B91D64" w:rsidSect="002B4CE7">
      <w:footerReference w:type="default" r:id="rId9"/>
      <w:pgSz w:w="11906" w:h="16838"/>
      <w:pgMar w:top="720" w:right="720" w:bottom="720" w:left="720" w:header="708" w:footer="338" w:gutter="0"/>
      <w:pgBorders w:offsetFrom="page">
        <w:top w:val="single" w:sz="18" w:space="24" w:color="EB8509"/>
        <w:left w:val="single" w:sz="18" w:space="24" w:color="EB8509"/>
        <w:bottom w:val="single" w:sz="18" w:space="24" w:color="EB8509"/>
        <w:right w:val="single" w:sz="18" w:space="24" w:color="EB85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D0" w:rsidRDefault="009B3AD0" w:rsidP="00E27C18">
      <w:pPr>
        <w:spacing w:after="0" w:line="240" w:lineRule="auto"/>
      </w:pPr>
      <w:r>
        <w:separator/>
      </w:r>
    </w:p>
  </w:endnote>
  <w:endnote w:type="continuationSeparator" w:id="0">
    <w:p w:rsidR="009B3AD0" w:rsidRDefault="009B3AD0" w:rsidP="00E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682"/>
    </w:tblGrid>
    <w:tr w:rsidR="002B4CE7" w:rsidTr="00B91D64">
      <w:tc>
        <w:tcPr>
          <w:tcW w:w="10682" w:type="dxa"/>
          <w:tcBorders>
            <w:top w:val="single" w:sz="12" w:space="0" w:color="E98409"/>
            <w:left w:val="nil"/>
            <w:bottom w:val="nil"/>
            <w:right w:val="nil"/>
          </w:tcBorders>
        </w:tcPr>
        <w:p w:rsidR="002B4CE7" w:rsidRDefault="002B4CE7" w:rsidP="00206877">
          <w:pPr>
            <w:jc w:val="both"/>
            <w:rPr>
              <w:sz w:val="20"/>
            </w:rPr>
          </w:pPr>
        </w:p>
        <w:p w:rsidR="002B4CE7" w:rsidRDefault="002B4CE7" w:rsidP="00206877">
          <w:pPr>
            <w:jc w:val="both"/>
            <w:rPr>
              <w:sz w:val="20"/>
            </w:rPr>
          </w:pPr>
          <w:r>
            <w:rPr>
              <w:sz w:val="20"/>
            </w:rPr>
            <w:t>The C</w:t>
          </w:r>
          <w:r w:rsidRPr="000C29E7">
            <w:rPr>
              <w:sz w:val="20"/>
            </w:rPr>
            <w:t>urriculum Access Tool for Students with General Learning Disability (CAT-GLD) is a framework developed by the Special Education Support Service based on the Guidelines for Teachers of Students with General Learning Disabilities produced by the National Council for Curriculum and Assessment.</w:t>
          </w:r>
        </w:p>
      </w:tc>
    </w:tr>
  </w:tbl>
  <w:p w:rsidR="002B4CE7" w:rsidRPr="000C6F9D" w:rsidRDefault="002B4CE7" w:rsidP="002B4CE7">
    <w:pPr>
      <w:spacing w:line="240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D0" w:rsidRDefault="009B3AD0" w:rsidP="00E27C18">
      <w:pPr>
        <w:spacing w:after="0" w:line="240" w:lineRule="auto"/>
      </w:pPr>
      <w:r>
        <w:separator/>
      </w:r>
    </w:p>
  </w:footnote>
  <w:footnote w:type="continuationSeparator" w:id="0">
    <w:p w:rsidR="009B3AD0" w:rsidRDefault="009B3AD0" w:rsidP="00E2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07039E"/>
    <w:multiLevelType w:val="hybridMultilevel"/>
    <w:tmpl w:val="D2F0D6EA"/>
    <w:lvl w:ilvl="0" w:tplc="52252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7"/>
    <w:rsid w:val="00065982"/>
    <w:rsid w:val="000952F0"/>
    <w:rsid w:val="000C29E7"/>
    <w:rsid w:val="000C6F9D"/>
    <w:rsid w:val="000E3AAA"/>
    <w:rsid w:val="00100DAF"/>
    <w:rsid w:val="00112097"/>
    <w:rsid w:val="00206877"/>
    <w:rsid w:val="00243155"/>
    <w:rsid w:val="002A7E45"/>
    <w:rsid w:val="002B4CE7"/>
    <w:rsid w:val="0031165D"/>
    <w:rsid w:val="003355D2"/>
    <w:rsid w:val="003A01FA"/>
    <w:rsid w:val="003C2D97"/>
    <w:rsid w:val="003E63B6"/>
    <w:rsid w:val="00431C9D"/>
    <w:rsid w:val="00473673"/>
    <w:rsid w:val="004D2663"/>
    <w:rsid w:val="005365D7"/>
    <w:rsid w:val="0055560C"/>
    <w:rsid w:val="00583895"/>
    <w:rsid w:val="005C50C0"/>
    <w:rsid w:val="005F05E1"/>
    <w:rsid w:val="0060530E"/>
    <w:rsid w:val="00650A69"/>
    <w:rsid w:val="00662D2C"/>
    <w:rsid w:val="006C53ED"/>
    <w:rsid w:val="00733F88"/>
    <w:rsid w:val="007360AE"/>
    <w:rsid w:val="00754D81"/>
    <w:rsid w:val="007C1B30"/>
    <w:rsid w:val="007C54DE"/>
    <w:rsid w:val="00822908"/>
    <w:rsid w:val="00842F15"/>
    <w:rsid w:val="008F3616"/>
    <w:rsid w:val="009075DC"/>
    <w:rsid w:val="00910E83"/>
    <w:rsid w:val="00942436"/>
    <w:rsid w:val="00965DF3"/>
    <w:rsid w:val="009B3AD0"/>
    <w:rsid w:val="00A007BB"/>
    <w:rsid w:val="00A473FE"/>
    <w:rsid w:val="00A7703D"/>
    <w:rsid w:val="00AA2E1C"/>
    <w:rsid w:val="00B14BFE"/>
    <w:rsid w:val="00B35A76"/>
    <w:rsid w:val="00B36636"/>
    <w:rsid w:val="00B91D64"/>
    <w:rsid w:val="00B9605E"/>
    <w:rsid w:val="00BF4527"/>
    <w:rsid w:val="00C57AA6"/>
    <w:rsid w:val="00CC70F0"/>
    <w:rsid w:val="00D24FC3"/>
    <w:rsid w:val="00D76D17"/>
    <w:rsid w:val="00DA6777"/>
    <w:rsid w:val="00E27C18"/>
    <w:rsid w:val="00E44B48"/>
    <w:rsid w:val="00E56A4F"/>
    <w:rsid w:val="00E7619D"/>
    <w:rsid w:val="00EB6357"/>
    <w:rsid w:val="00EB6C5B"/>
    <w:rsid w:val="00EF1202"/>
    <w:rsid w:val="00EF154F"/>
    <w:rsid w:val="00F35B3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18"/>
  </w:style>
  <w:style w:type="paragraph" w:styleId="Footer">
    <w:name w:val="footer"/>
    <w:basedOn w:val="Normal"/>
    <w:link w:val="Foot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18"/>
  </w:style>
  <w:style w:type="paragraph" w:styleId="BalloonText">
    <w:name w:val="Balloon Text"/>
    <w:basedOn w:val="Normal"/>
    <w:link w:val="BalloonTextChar"/>
    <w:uiPriority w:val="99"/>
    <w:semiHidden/>
    <w:unhideWhenUsed/>
    <w:rsid w:val="006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0E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18"/>
  </w:style>
  <w:style w:type="paragraph" w:styleId="Footer">
    <w:name w:val="footer"/>
    <w:basedOn w:val="Normal"/>
    <w:link w:val="Foot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18"/>
  </w:style>
  <w:style w:type="paragraph" w:styleId="BalloonText">
    <w:name w:val="Balloon Text"/>
    <w:basedOn w:val="Normal"/>
    <w:link w:val="BalloonTextChar"/>
    <w:uiPriority w:val="99"/>
    <w:semiHidden/>
    <w:unhideWhenUsed/>
    <w:rsid w:val="006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0E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</dc:creator>
  <cp:lastModifiedBy>Windows User</cp:lastModifiedBy>
  <cp:revision>2</cp:revision>
  <cp:lastPrinted>2012-12-10T10:10:00Z</cp:lastPrinted>
  <dcterms:created xsi:type="dcterms:W3CDTF">2020-09-16T16:34:00Z</dcterms:created>
  <dcterms:modified xsi:type="dcterms:W3CDTF">2020-09-16T16:34:00Z</dcterms:modified>
</cp:coreProperties>
</file>